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SPECIFICATION OF STANDARD SERVICES</w:t>
      </w:r>
    </w:p>
    <w:p>
      <w:pPr>
        <w:tabs>
          <w:tab w:val="left" w:pos="2835"/>
        </w:tabs>
        <w:spacing w:before="240" w:after="240"/>
        <w:ind w:left="2835" w:hanging="2835"/>
        <w:jc w:val="center"/>
        <w:rPr>
          <w:rFonts w:asciiTheme="minorHAnsi" w:hAnsiTheme="minorHAnsi" w:cstheme="minorHAnsi"/>
          <w:lang w:val="en-GB" w:eastAsia="ko-KR"/>
        </w:rPr>
      </w:pPr>
      <w:r>
        <w:rPr>
          <w:b/>
          <w:lang w:val="en-GB"/>
        </w:rPr>
        <w:t>Procurement No:</w:t>
      </w:r>
      <w:r>
        <w:rPr>
          <w:lang w:val="en-GB"/>
        </w:rPr>
        <w:tab/>
      </w:r>
      <w:bookmarkStart w:id="0" w:name="Number"/>
      <w:r>
        <w:rPr>
          <w:rStyle w:val="32"/>
          <w:rFonts w:asciiTheme="minorHAnsi" w:hAnsiTheme="minorHAnsi" w:cstheme="minorHAnsi"/>
          <w:lang w:val="en-GB"/>
        </w:rPr>
        <w:t>RFQ-</w:t>
      </w:r>
      <w:bookmarkEnd w:id="0"/>
      <w:r>
        <w:rPr>
          <w:rStyle w:val="32"/>
          <w:rFonts w:asciiTheme="minorHAnsi" w:hAnsiTheme="minorHAnsi" w:cstheme="minorHAnsi"/>
          <w:lang w:val="en-GB"/>
        </w:rPr>
        <w:t>27-SS002-21</w:t>
      </w:r>
    </w:p>
    <w:p>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pPr>
        <w:pStyle w:val="3"/>
      </w:pPr>
      <w:bookmarkStart w:id="1" w:name="_Toc419729571"/>
      <w:bookmarkStart w:id="2" w:name="_Toc11156577"/>
      <w:r>
        <w:t>Specification</w:t>
      </w:r>
      <w:bookmarkEnd w:id="1"/>
    </w:p>
    <w:p>
      <w:pPr>
        <w:pStyle w:val="4"/>
        <w:rPr>
          <w:lang w:val="en-GB"/>
        </w:rPr>
      </w:pPr>
      <w:bookmarkStart w:id="3" w:name="_Toc293504682"/>
      <w:bookmarkStart w:id="4" w:name="_Toc419729572"/>
      <w:bookmarkStart w:id="5" w:name="_Toc292659306"/>
      <w:r>
        <w:rPr>
          <w:lang w:val="en-GB"/>
        </w:rPr>
        <w:t>Background</w:t>
      </w:r>
      <w:bookmarkEnd w:id="3"/>
      <w:bookmarkEnd w:id="4"/>
    </w:p>
    <w:p>
      <w:pPr>
        <w:rPr>
          <w:lang w:val="en-AU"/>
        </w:rPr>
      </w:pPr>
      <w:r>
        <w:rPr>
          <w:lang w:val="en-AU"/>
        </w:rPr>
        <w:t xml:space="preserve">The Ministry of Infrastructure and Sustainable Energy (MISE) charter is required to ensure the machineries are uplifted from Maiana at the earliest time possible. This is part of the Parliament session that requires the channel construction at Kainaba and Nabeina.  </w:t>
      </w:r>
    </w:p>
    <w:p>
      <w:pPr>
        <w:pStyle w:val="4"/>
        <w:rPr>
          <w:rFonts w:cs="Calibri"/>
          <w:lang w:val="en-GB"/>
        </w:rPr>
      </w:pPr>
      <w:bookmarkStart w:id="6" w:name="_Toc312171709"/>
      <w:r>
        <w:rPr>
          <w:rFonts w:cs="Calibri"/>
          <w:lang w:val="en-GB"/>
        </w:rPr>
        <w:t>Requirements</w:t>
      </w:r>
    </w:p>
    <w:p>
      <w:pPr>
        <w:rPr>
          <w:lang w:val="en-AU"/>
        </w:rPr>
      </w:pPr>
      <w:bookmarkStart w:id="7" w:name="_Toc308102003"/>
      <w:r>
        <w:rPr>
          <w:lang w:val="en-GB"/>
        </w:rPr>
        <w:t>All supporting documentation must be in English.</w:t>
      </w:r>
      <w:r>
        <w:rPr>
          <w:lang w:val="en-AU"/>
        </w:rPr>
        <w:t xml:space="preserve"> The shipping company should ensure the vessel is a landing craft with the capability to load four (4) heavy machineries. </w:t>
      </w:r>
    </w:p>
    <w:bookmarkEnd w:id="7"/>
    <w:p>
      <w:pPr>
        <w:pStyle w:val="4"/>
        <w:rPr>
          <w:lang w:val="en-GB"/>
        </w:rPr>
      </w:pPr>
      <w:bookmarkStart w:id="8" w:name="_Toc419729578"/>
      <w:r>
        <w:rPr>
          <w:lang w:val="en-GB"/>
        </w:rPr>
        <w:t>Delivery Time</w:t>
      </w:r>
      <w:bookmarkEnd w:id="8"/>
    </w:p>
    <w:p>
      <w:pPr>
        <w:rPr>
          <w:rFonts w:hint="default"/>
          <w:highlight w:val="none"/>
          <w:lang w:val="en-US"/>
        </w:rPr>
      </w:pPr>
      <w:r>
        <w:rPr>
          <w:rFonts w:hint="default"/>
          <w:highlight w:val="none"/>
          <w:lang w:val="en-US"/>
        </w:rPr>
        <w:t>The charter is planned to depart Tarawa on the 24</w:t>
      </w:r>
      <w:r>
        <w:rPr>
          <w:rFonts w:hint="default"/>
          <w:highlight w:val="none"/>
          <w:vertAlign w:val="superscript"/>
          <w:lang w:val="en-US"/>
        </w:rPr>
        <w:t>th</w:t>
      </w:r>
      <w:r>
        <w:rPr>
          <w:rFonts w:hint="default"/>
          <w:highlight w:val="none"/>
          <w:lang w:val="en-US"/>
        </w:rPr>
        <w:t xml:space="preserve"> June 2021.</w:t>
      </w:r>
    </w:p>
    <w:bookmarkEnd w:id="5"/>
    <w:bookmarkEnd w:id="6"/>
    <w:p>
      <w:pPr>
        <w:pStyle w:val="3"/>
      </w:pPr>
      <w:r>
        <w:t>Description of the Services</w:t>
      </w:r>
      <w:bookmarkEnd w:id="2"/>
      <w:r>
        <w:rPr>
          <w:rFonts w:cs="Calibri"/>
        </w:rPr>
        <w:t xml:space="preserve"> to be provided</w:t>
      </w:r>
    </w:p>
    <w:p>
      <w:pPr>
        <w:rPr>
          <w:i/>
          <w:iCs/>
          <w:lang w:val="en-GB"/>
        </w:rPr>
      </w:pPr>
      <w:r>
        <w:rPr>
          <w:i/>
          <w:iCs/>
          <w:lang w:val="en-GB"/>
        </w:rPr>
        <w:t>Here, list all items to be Tendered</w:t>
      </w:r>
    </w:p>
    <w:p>
      <w:pPr>
        <w:rPr>
          <w:i/>
          <w:iCs/>
          <w:lang w:val="en-GB"/>
        </w:rPr>
      </w:pPr>
      <w:r>
        <w:rPr>
          <w:i/>
          <w:iCs/>
          <w:lang w:val="en-GB"/>
        </w:rPr>
        <w:t>(This part may be replaced by a proprietary Service Provider description)</w:t>
      </w:r>
    </w:p>
    <w:p>
      <w:pPr>
        <w:rPr>
          <w:lang w:val="en-GB"/>
        </w:rPr>
      </w:pPr>
    </w:p>
    <w:tbl>
      <w:tblPr>
        <w:tblStyle w:val="86"/>
        <w:tblW w:w="0" w:type="auto"/>
        <w:tblInd w:w="0" w:type="dxa"/>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autofit"/>
        <w:tblCellMar>
          <w:top w:w="0" w:type="dxa"/>
          <w:left w:w="108" w:type="dxa"/>
          <w:bottom w:w="0" w:type="dxa"/>
          <w:right w:w="108" w:type="dxa"/>
        </w:tblCellMar>
      </w:tblPr>
      <w:tblGrid>
        <w:gridCol w:w="636"/>
        <w:gridCol w:w="4678"/>
        <w:gridCol w:w="1769"/>
        <w:gridCol w:w="1843"/>
      </w:tblGrid>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Borders>
              <w:bottom w:val="single" w:color="666666" w:themeColor="text1" w:themeTint="99" w:sz="12" w:space="0"/>
              <w:insideH w:val="single" w:sz="12" w:space="0"/>
            </w:tcBorders>
          </w:tcPr>
          <w:p>
            <w:pPr>
              <w:rPr>
                <w:b w:val="0"/>
                <w:bCs w:val="0"/>
                <w:lang w:val="en-GB"/>
              </w:rPr>
            </w:pPr>
            <w:r>
              <w:rPr>
                <w:b/>
                <w:bCs/>
                <w:lang w:val="en-GB"/>
              </w:rPr>
              <w:t>Pos.</w:t>
            </w:r>
          </w:p>
        </w:tc>
        <w:tc>
          <w:tcPr>
            <w:tcW w:w="4678" w:type="dxa"/>
            <w:tcBorders>
              <w:bottom w:val="single" w:color="666666" w:themeColor="text1" w:themeTint="99" w:sz="12" w:space="0"/>
              <w:insideH w:val="single" w:sz="12" w:space="0"/>
            </w:tcBorders>
          </w:tcPr>
          <w:p>
            <w:pPr>
              <w:rPr>
                <w:b w:val="0"/>
                <w:bCs w:val="0"/>
                <w:lang w:val="en-GB"/>
              </w:rPr>
            </w:pPr>
            <w:r>
              <w:rPr>
                <w:b/>
                <w:bCs/>
                <w:lang w:val="en-GB"/>
              </w:rPr>
              <w:t>Description</w:t>
            </w:r>
          </w:p>
        </w:tc>
        <w:tc>
          <w:tcPr>
            <w:tcW w:w="1769" w:type="dxa"/>
            <w:tcBorders>
              <w:bottom w:val="single" w:color="666666" w:themeColor="text1" w:themeTint="99" w:sz="12" w:space="0"/>
              <w:insideH w:val="single" w:sz="12" w:space="0"/>
            </w:tcBorders>
          </w:tcPr>
          <w:p>
            <w:pPr>
              <w:rPr>
                <w:b w:val="0"/>
                <w:bCs w:val="0"/>
                <w:lang w:val="en-GB"/>
              </w:rPr>
            </w:pPr>
            <w:r>
              <w:rPr>
                <w:b/>
                <w:bCs/>
                <w:lang w:val="en-GB"/>
              </w:rPr>
              <w:t>Delivery Time (to be Tendered)</w:t>
            </w:r>
          </w:p>
        </w:tc>
        <w:tc>
          <w:tcPr>
            <w:tcW w:w="1843" w:type="dxa"/>
            <w:tcBorders>
              <w:bottom w:val="single" w:color="666666" w:themeColor="text1" w:themeTint="99" w:sz="12" w:space="0"/>
              <w:insideH w:val="single" w:sz="12" w:space="0"/>
            </w:tcBorders>
          </w:tcPr>
          <w:p>
            <w:pPr>
              <w:rPr>
                <w:b w:val="0"/>
                <w:bCs w:val="0"/>
                <w:lang w:val="en-GB"/>
              </w:rPr>
            </w:pPr>
            <w:r>
              <w:rPr>
                <w:b/>
                <w:bCs/>
                <w:lang w:val="en-GB"/>
              </w:rPr>
              <w:t>Price (to be Tendered)</w:t>
            </w: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b/>
                <w:bCs/>
                <w:lang w:val="en-GB"/>
              </w:rPr>
            </w:pPr>
            <w:r>
              <w:rPr>
                <w:b w:val="0"/>
                <w:bCs w:val="0"/>
                <w:lang w:val="en-GB"/>
              </w:rPr>
              <w:t>1</w:t>
            </w:r>
          </w:p>
        </w:tc>
        <w:tc>
          <w:tcPr>
            <w:tcW w:w="4678" w:type="dxa"/>
          </w:tcPr>
          <w:p>
            <w:pPr>
              <w:rPr>
                <w:lang w:val="en-AU"/>
              </w:rPr>
            </w:pPr>
            <w:r>
              <w:rPr>
                <w:lang w:val="en-AU"/>
              </w:rPr>
              <w:t>Charter to Maiana (subject to Tenderer’s time and schedule). Proposed date to depart for Maiana 24/05/21</w:t>
            </w:r>
          </w:p>
        </w:tc>
        <w:tc>
          <w:tcPr>
            <w:tcW w:w="1769" w:type="dxa"/>
          </w:tcPr>
          <w:p>
            <w:pPr>
              <w:rPr>
                <w:lang w:val="en-GB"/>
              </w:rPr>
            </w:pPr>
          </w:p>
        </w:tc>
        <w:tc>
          <w:tcPr>
            <w:tcW w:w="1843" w:type="dxa"/>
          </w:tcPr>
          <w:p>
            <w:pPr>
              <w:rPr>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b/>
                <w:bCs/>
                <w:lang w:val="en-GB"/>
              </w:rPr>
            </w:pPr>
            <w:r>
              <w:rPr>
                <w:b w:val="0"/>
                <w:bCs w:val="0"/>
                <w:lang w:val="en-GB"/>
              </w:rPr>
              <w:t>2</w:t>
            </w:r>
          </w:p>
        </w:tc>
        <w:tc>
          <w:tcPr>
            <w:tcW w:w="4678" w:type="dxa"/>
          </w:tcPr>
          <w:p>
            <w:pPr>
              <w:rPr>
                <w:lang w:val="en-AU"/>
              </w:rPr>
            </w:pPr>
            <w:r>
              <w:rPr>
                <w:lang w:val="en-AU"/>
              </w:rPr>
              <w:t>Charter return with the heavy machineries. Estimated time of loading is 1 day. Proposed date 26/05/21.</w:t>
            </w:r>
          </w:p>
        </w:tc>
        <w:tc>
          <w:tcPr>
            <w:tcW w:w="1769" w:type="dxa"/>
          </w:tcPr>
          <w:p>
            <w:pPr>
              <w:rPr>
                <w:lang w:val="en-GB"/>
              </w:rPr>
            </w:pPr>
          </w:p>
        </w:tc>
        <w:tc>
          <w:tcPr>
            <w:tcW w:w="1843" w:type="dxa"/>
          </w:tcPr>
          <w:p>
            <w:pPr>
              <w:rPr>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b/>
                <w:bCs/>
                <w:lang w:val="en-GB"/>
              </w:rPr>
            </w:pPr>
            <w:r>
              <w:rPr>
                <w:b w:val="0"/>
                <w:bCs w:val="0"/>
                <w:lang w:val="en-GB"/>
              </w:rPr>
              <w:t>3</w:t>
            </w:r>
          </w:p>
        </w:tc>
        <w:tc>
          <w:tcPr>
            <w:tcW w:w="4678" w:type="dxa"/>
          </w:tcPr>
          <w:p>
            <w:pPr>
              <w:rPr>
                <w:lang w:val="en-GB"/>
              </w:rPr>
            </w:pPr>
          </w:p>
        </w:tc>
        <w:tc>
          <w:tcPr>
            <w:tcW w:w="1769" w:type="dxa"/>
          </w:tcPr>
          <w:p>
            <w:pPr>
              <w:rPr>
                <w:lang w:val="en-GB"/>
              </w:rPr>
            </w:pPr>
          </w:p>
        </w:tc>
        <w:tc>
          <w:tcPr>
            <w:tcW w:w="1843" w:type="dxa"/>
          </w:tcPr>
          <w:p>
            <w:pPr>
              <w:rPr>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b/>
                <w:bCs/>
                <w:lang w:val="en-GB"/>
              </w:rPr>
            </w:pPr>
            <w:r>
              <w:rPr>
                <w:b w:val="0"/>
                <w:bCs w:val="0"/>
                <w:lang w:val="en-GB"/>
              </w:rPr>
              <w:t>4</w:t>
            </w:r>
          </w:p>
        </w:tc>
        <w:tc>
          <w:tcPr>
            <w:tcW w:w="4678" w:type="dxa"/>
          </w:tcPr>
          <w:p>
            <w:pPr>
              <w:rPr>
                <w:lang w:val="en-GB"/>
              </w:rPr>
            </w:pPr>
          </w:p>
        </w:tc>
        <w:tc>
          <w:tcPr>
            <w:tcW w:w="1769" w:type="dxa"/>
          </w:tcPr>
          <w:p>
            <w:pPr>
              <w:rPr>
                <w:lang w:val="en-GB"/>
              </w:rPr>
            </w:pPr>
          </w:p>
        </w:tc>
        <w:tc>
          <w:tcPr>
            <w:tcW w:w="1843" w:type="dxa"/>
          </w:tcPr>
          <w:p>
            <w:pPr>
              <w:rPr>
                <w:lang w:val="en-GB"/>
              </w:rPr>
            </w:pPr>
          </w:p>
        </w:tc>
      </w:tr>
    </w:tbl>
    <w:p>
      <w:pPr>
        <w:rPr>
          <w:lang w:val="en-GB"/>
        </w:rPr>
      </w:pPr>
      <w:bookmarkStart w:id="9" w:name="_GoBack"/>
      <w:bookmarkEnd w:id="9"/>
    </w:p>
    <w:sectPr>
      <w:headerReference r:id="rId4" w:type="default"/>
      <w:footerReference r:id="rId5" w:type="default"/>
      <w:type w:val="oddPage"/>
      <w:pgSz w:w="11907" w:h="16839"/>
      <w:pgMar w:top="1701"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2021-06-04</w:t>
    </w:r>
    <w:r>
      <w:fldChar w:fldCharType="end"/>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b/>
        <w:bCs/>
        <w:sz w:val="20"/>
      </w:rPr>
      <w:t>RFQ-27-SS002-21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5E"/>
    <w:rsid w:val="00014D56"/>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96B"/>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1BF6"/>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357"/>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463"/>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0DC"/>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3242"/>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D1E"/>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C7ECD"/>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79D5"/>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53696724"/>
    <w:rsid w:val="5FE63CED"/>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1"/>
    <w:basedOn w:val="12"/>
    <w:semiHidden/>
    <w:unhideWhenUsed/>
    <w:qFormat/>
    <w:uiPriority w:val="99"/>
    <w:rPr>
      <w:color w:val="605E5C"/>
      <w:shd w:val="clear" w:color="auto" w:fill="E1DFDD"/>
    </w:rPr>
  </w:style>
  <w:style w:type="table" w:customStyle="1" w:styleId="86">
    <w:name w:val="Grid Table 1 Light1"/>
    <w:basedOn w:val="13"/>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74D59-FDCB-466F-981F-3445A7173771}">
  <ds:schemaRefs/>
</ds:datastoreItem>
</file>

<file path=customXml/itemProps3.xml><?xml version="1.0" encoding="utf-8"?>
<ds:datastoreItem xmlns:ds="http://schemas.openxmlformats.org/officeDocument/2006/customXml" ds:itemID="{2DBE7A18-72B1-46CE-BE67-00617F8B30CB}">
  <ds:schemaRefs/>
</ds:datastoreItem>
</file>

<file path=customXml/itemProps4.xml><?xml version="1.0" encoding="utf-8"?>
<ds:datastoreItem xmlns:ds="http://schemas.openxmlformats.org/officeDocument/2006/customXml" ds:itemID="{6BC12554-8069-4B43-8B69-B6366E92D6F6}">
  <ds:schemaRefs/>
</ds:datastoreItem>
</file>

<file path=customXml/itemProps5.xml><?xml version="1.0" encoding="utf-8"?>
<ds:datastoreItem xmlns:ds="http://schemas.openxmlformats.org/officeDocument/2006/customXml" ds:itemID="{5C3019AD-311D-41F0-9E19-A65F7B1DF15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2</Pages>
  <Words>160</Words>
  <Characters>914</Characters>
  <Lines>7</Lines>
  <Paragraphs>2</Paragraphs>
  <TotalTime>18</TotalTime>
  <ScaleCrop>false</ScaleCrop>
  <LinksUpToDate>false</LinksUpToDate>
  <CharactersWithSpaces>1072</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2020-07-06T12:40:00Z</dcterms:created>
  <dc:creator>jason.lee@gggi.org;Jisu Min</dc:creator>
  <cp:lastModifiedBy>lruaia01</cp:lastModifiedBy>
  <cp:lastPrinted>2013-10-18T08:32:00Z</cp:lastPrinted>
  <dcterms:modified xsi:type="dcterms:W3CDTF">2021-06-03T23:46:29Z</dcterms:modified>
  <dc:title>STANDARD REQUEST FOR PROPOSALS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2057-11.2.0.10132</vt:lpwstr>
  </property>
</Properties>
</file>